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E176" w14:textId="77777777" w:rsidR="008938F2" w:rsidRPr="00DF43FC" w:rsidRDefault="008938F2" w:rsidP="008938F2">
      <w:pPr>
        <w:pStyle w:val="Heading3"/>
        <w:jc w:val="center"/>
        <w:rPr>
          <w:rFonts w:eastAsia="Arial" w:cs="Arial"/>
          <w:sz w:val="24"/>
        </w:rPr>
      </w:pPr>
      <w:bookmarkStart w:id="0" w:name="_Toc207705790"/>
      <w:r w:rsidRPr="4297D685">
        <w:rPr>
          <w:rFonts w:eastAsia="Arial" w:cs="Arial"/>
          <w:sz w:val="24"/>
        </w:rPr>
        <w:t>Risk Analysis Tool</w:t>
      </w:r>
      <w:bookmarkEnd w:id="0"/>
    </w:p>
    <w:p w14:paraId="0E07123C" w14:textId="77777777" w:rsidR="008938F2" w:rsidRPr="00DF43FC" w:rsidRDefault="008938F2" w:rsidP="008938F2">
      <w:pPr>
        <w:keepNext/>
        <w:keepLines/>
        <w:rPr>
          <w:rFonts w:eastAsia="Arial" w:cs="Arial"/>
          <w:szCs w:val="24"/>
        </w:rPr>
      </w:pPr>
    </w:p>
    <w:p w14:paraId="40533B46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 xml:space="preserve">DfE Guidance states that the decision to exclude a pupil permanently should only be taken: </w:t>
      </w:r>
    </w:p>
    <w:p w14:paraId="5415C99A" w14:textId="77777777" w:rsidR="008938F2" w:rsidRPr="00DF43FC" w:rsidRDefault="008938F2" w:rsidP="008938F2">
      <w:pPr>
        <w:ind w:left="720"/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 xml:space="preserve">• in response to a serious breach or persistent breaches of the school's behaviour policy; and </w:t>
      </w:r>
    </w:p>
    <w:p w14:paraId="62E400F2" w14:textId="77777777" w:rsidR="008938F2" w:rsidRPr="00DF43FC" w:rsidRDefault="008938F2" w:rsidP="008938F2">
      <w:pPr>
        <w:ind w:left="720"/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 xml:space="preserve">• where allowing the pupil to remain in school would seriously </w:t>
      </w:r>
      <w:r w:rsidRPr="4297D685">
        <w:rPr>
          <w:rFonts w:eastAsia="Arial" w:cs="Arial"/>
          <w:b/>
          <w:bCs/>
          <w:color w:val="000000" w:themeColor="text1"/>
          <w:szCs w:val="24"/>
        </w:rPr>
        <w:t>harm the education or welfare of the pupil or others</w:t>
      </w:r>
      <w:r w:rsidRPr="4297D685">
        <w:rPr>
          <w:rFonts w:eastAsia="Arial" w:cs="Arial"/>
          <w:color w:val="000000" w:themeColor="text1"/>
          <w:szCs w:val="24"/>
        </w:rPr>
        <w:t xml:space="preserve"> such as staff or pupils in the school.</w:t>
      </w:r>
    </w:p>
    <w:p w14:paraId="6005223F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>The Inclusion Support Service have developed this tool to support headteachers to evaluate the harm a pupil may present and identify what can be done to mitigate this.</w:t>
      </w:r>
    </w:p>
    <w:p w14:paraId="3FFFBF07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>When using the tool Headteachers should consider the following.</w:t>
      </w:r>
    </w:p>
    <w:p w14:paraId="515037D9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b/>
          <w:bCs/>
          <w:color w:val="000000" w:themeColor="text1"/>
          <w:szCs w:val="24"/>
        </w:rPr>
        <w:t>Behaviour:</w:t>
      </w:r>
    </w:p>
    <w:p w14:paraId="0D7B648A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>Describe the behaviour that is causing harm. This may include outlining the frequency, location etc.</w:t>
      </w:r>
    </w:p>
    <w:p w14:paraId="51CCBA67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 xml:space="preserve">Outline the impact of this behaviour on education and welfare. For example:  </w:t>
      </w:r>
    </w:p>
    <w:p w14:paraId="3617EB11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>Harm to the Pupil:  How is the pupil’s education being affected; what is the risk of harm to the pupil (emotional, physical, social); and identify additional needs and if so what (SEND, safeguarding, mental health)?</w:t>
      </w:r>
    </w:p>
    <w:p w14:paraId="4EA1C95C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color w:val="000000" w:themeColor="text1"/>
          <w:szCs w:val="24"/>
        </w:rPr>
        <w:t xml:space="preserve">Harm to peers and staff: Is other pupils’ learning being disrupted and if so, </w:t>
      </w:r>
      <w:r>
        <w:tab/>
      </w:r>
      <w:r w:rsidRPr="4297D685">
        <w:rPr>
          <w:rFonts w:eastAsia="Arial" w:cs="Arial"/>
          <w:color w:val="000000" w:themeColor="text1"/>
          <w:szCs w:val="24"/>
        </w:rPr>
        <w:t xml:space="preserve">how; are there safeguarding concerns for others and if so, what; are staff </w:t>
      </w:r>
      <w:r>
        <w:tab/>
      </w:r>
      <w:r w:rsidRPr="4297D685">
        <w:rPr>
          <w:rFonts w:eastAsia="Arial" w:cs="Arial"/>
          <w:color w:val="000000" w:themeColor="text1"/>
          <w:szCs w:val="24"/>
        </w:rPr>
        <w:t xml:space="preserve">experiencing threats, stress, or harm; and has staff wellbeing or ability to </w:t>
      </w:r>
      <w:r>
        <w:tab/>
      </w:r>
      <w:r>
        <w:tab/>
      </w:r>
      <w:r w:rsidRPr="4297D685">
        <w:rPr>
          <w:rFonts w:eastAsia="Arial" w:cs="Arial"/>
          <w:color w:val="000000" w:themeColor="text1"/>
          <w:szCs w:val="24"/>
        </w:rPr>
        <w:t>teach been compromised and if so, how?</w:t>
      </w:r>
    </w:p>
    <w:p w14:paraId="2FB6B4A0" w14:textId="77777777" w:rsidR="008938F2" w:rsidRPr="00DF43FC" w:rsidRDefault="008938F2" w:rsidP="008938F2">
      <w:pPr>
        <w:rPr>
          <w:rFonts w:eastAsia="Arial" w:cs="Arial"/>
          <w:color w:val="000000" w:themeColor="text1"/>
          <w:szCs w:val="24"/>
        </w:rPr>
      </w:pPr>
      <w:r w:rsidRPr="4297D685">
        <w:rPr>
          <w:rFonts w:eastAsia="Arial" w:cs="Arial"/>
          <w:b/>
          <w:bCs/>
          <w:color w:val="000000" w:themeColor="text1"/>
          <w:szCs w:val="24"/>
        </w:rPr>
        <w:t xml:space="preserve">Strategies to mitigate harm: </w:t>
      </w:r>
    </w:p>
    <w:p w14:paraId="1D117CC4" w14:textId="77777777" w:rsidR="008938F2" w:rsidRDefault="008938F2" w:rsidP="008938F2">
      <w:pPr>
        <w:rPr>
          <w:rFonts w:eastAsia="Arial" w:cs="Arial"/>
          <w:color w:val="000000" w:themeColor="text1"/>
          <w:szCs w:val="24"/>
        </w:rPr>
        <w:sectPr w:rsidR="008938F2" w:rsidSect="008938F2">
          <w:footerReference w:type="default" r:id="rId11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  <w:r w:rsidRPr="4297D685">
        <w:rPr>
          <w:rFonts w:eastAsia="Arial" w:cs="Arial"/>
          <w:color w:val="000000" w:themeColor="text1"/>
          <w:szCs w:val="24"/>
        </w:rPr>
        <w:t xml:space="preserve">Examples of </w:t>
      </w:r>
      <w:r w:rsidRPr="4297D685">
        <w:rPr>
          <w:rFonts w:eastAsia="Arial" w:cs="Arial"/>
          <w:b/>
          <w:bCs/>
          <w:color w:val="000000" w:themeColor="text1"/>
          <w:szCs w:val="24"/>
        </w:rPr>
        <w:t>supportive interventions:</w:t>
      </w:r>
      <w:r w:rsidRPr="4297D685">
        <w:rPr>
          <w:rFonts w:eastAsia="Arial" w:cs="Arial"/>
          <w:color w:val="000000" w:themeColor="text1"/>
          <w:szCs w:val="24"/>
        </w:rPr>
        <w:t xml:space="preserve"> Pastoral support / mentoring; SEN assessment or review; CAMHS or mental health referral; alternative timetable or provision; managed move or respite placement; behaviour support plan / PSP; ELSA / therapeutic input. </w:t>
      </w:r>
      <w:r w:rsidRPr="4297D685">
        <w:rPr>
          <w:rFonts w:eastAsia="Arial" w:cs="Arial"/>
          <w:b/>
          <w:bCs/>
          <w:color w:val="000000" w:themeColor="text1"/>
          <w:szCs w:val="24"/>
        </w:rPr>
        <w:t>Environmental adjustments</w:t>
      </w:r>
      <w:r w:rsidRPr="4297D685">
        <w:rPr>
          <w:rFonts w:eastAsia="Arial" w:cs="Arial"/>
          <w:color w:val="000000" w:themeColor="text1"/>
          <w:szCs w:val="24"/>
        </w:rPr>
        <w:t xml:space="preserve"> could include a change of class or seating; increased supervision; safe space or time-out provision; and staff training or support. Finally, </w:t>
      </w:r>
      <w:r w:rsidRPr="4297D685">
        <w:rPr>
          <w:rFonts w:eastAsia="Arial" w:cs="Arial"/>
          <w:b/>
          <w:bCs/>
          <w:color w:val="000000" w:themeColor="text1"/>
          <w:szCs w:val="24"/>
        </w:rPr>
        <w:t>partnership working</w:t>
      </w:r>
      <w:r w:rsidRPr="4297D685">
        <w:rPr>
          <w:rFonts w:eastAsia="Arial" w:cs="Arial"/>
          <w:color w:val="000000" w:themeColor="text1"/>
          <w:szCs w:val="24"/>
        </w:rPr>
        <w:t xml:space="preserve"> such as multi-agency meeting; parental engagement; Early Help referral; and Inclusion team involvement.</w:t>
      </w:r>
    </w:p>
    <w:tbl>
      <w:tblPr>
        <w:tblW w:w="500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699"/>
        <w:gridCol w:w="5179"/>
        <w:gridCol w:w="2725"/>
        <w:gridCol w:w="3356"/>
      </w:tblGrid>
      <w:tr w:rsidR="008938F2" w:rsidRPr="00334D22" w14:paraId="608EC046" w14:textId="77777777" w:rsidTr="00C515CB">
        <w:trPr>
          <w:trHeight w:val="300"/>
        </w:trPr>
        <w:tc>
          <w:tcPr>
            <w:tcW w:w="967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0F4761"/>
            <w:tcMar>
              <w:left w:w="105" w:type="dxa"/>
              <w:right w:w="105" w:type="dxa"/>
            </w:tcMar>
          </w:tcPr>
          <w:p w14:paraId="12D76071" w14:textId="77777777" w:rsidR="008938F2" w:rsidRPr="00334D22" w:rsidRDefault="008938F2" w:rsidP="00C515CB">
            <w:pPr>
              <w:rPr>
                <w:rFonts w:eastAsia="Aptos" w:cs="Arial"/>
                <w:color w:val="FFFFFF" w:themeColor="background1"/>
                <w:sz w:val="22"/>
              </w:rPr>
            </w:pPr>
            <w:r w:rsidRPr="00334D22">
              <w:rPr>
                <w:rFonts w:eastAsia="Aptos" w:cs="Arial"/>
                <w:b/>
                <w:bCs/>
                <w:color w:val="FFFFFF" w:themeColor="background1"/>
                <w:sz w:val="22"/>
              </w:rPr>
              <w:lastRenderedPageBreak/>
              <w:t>Pupil Name: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9B8E5D" w14:textId="77777777" w:rsidR="008938F2" w:rsidRPr="00334D22" w:rsidRDefault="008938F2" w:rsidP="00C515CB">
            <w:pPr>
              <w:rPr>
                <w:rFonts w:eastAsia="Aptos" w:cs="Arial"/>
                <w:color w:val="501549"/>
                <w:sz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0F4761"/>
            <w:tcMar>
              <w:left w:w="105" w:type="dxa"/>
              <w:right w:w="105" w:type="dxa"/>
            </w:tcMar>
          </w:tcPr>
          <w:p w14:paraId="49B17248" w14:textId="77777777" w:rsidR="008938F2" w:rsidRPr="00334D22" w:rsidRDefault="008938F2" w:rsidP="00C515CB">
            <w:pPr>
              <w:rPr>
                <w:rFonts w:eastAsia="Aptos" w:cs="Arial"/>
                <w:color w:val="FFFFFF" w:themeColor="background1"/>
                <w:sz w:val="22"/>
              </w:rPr>
            </w:pPr>
            <w:r w:rsidRPr="00334D22">
              <w:rPr>
                <w:rFonts w:eastAsia="Aptos" w:cs="Arial"/>
                <w:b/>
                <w:bCs/>
                <w:color w:val="FFFFFF" w:themeColor="background1"/>
                <w:sz w:val="22"/>
              </w:rPr>
              <w:t>Date of agreed RA: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7A0E98" w14:textId="77777777" w:rsidR="008938F2" w:rsidRPr="00334D22" w:rsidRDefault="008938F2" w:rsidP="00C515CB">
            <w:pPr>
              <w:rPr>
                <w:rFonts w:eastAsia="Aptos" w:cs="Arial"/>
                <w:color w:val="501549"/>
                <w:sz w:val="22"/>
              </w:rPr>
            </w:pPr>
          </w:p>
        </w:tc>
      </w:tr>
      <w:tr w:rsidR="008938F2" w:rsidRPr="00334D22" w14:paraId="143E9763" w14:textId="77777777" w:rsidTr="00C515CB">
        <w:trPr>
          <w:trHeight w:val="300"/>
        </w:trPr>
        <w:tc>
          <w:tcPr>
            <w:tcW w:w="967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0F4761"/>
            <w:tcMar>
              <w:left w:w="105" w:type="dxa"/>
              <w:right w:w="105" w:type="dxa"/>
            </w:tcMar>
          </w:tcPr>
          <w:p w14:paraId="5F731C36" w14:textId="77777777" w:rsidR="008938F2" w:rsidRPr="00334D22" w:rsidRDefault="008938F2" w:rsidP="00C515CB">
            <w:pPr>
              <w:rPr>
                <w:rFonts w:eastAsia="Aptos" w:cs="Arial"/>
                <w:color w:val="FFFFFF" w:themeColor="background1"/>
                <w:sz w:val="22"/>
              </w:rPr>
            </w:pPr>
            <w:r w:rsidRPr="00334D22">
              <w:rPr>
                <w:rFonts w:eastAsia="Aptos" w:cs="Arial"/>
                <w:b/>
                <w:bCs/>
                <w:color w:val="FFFFFF" w:themeColor="background1"/>
                <w:sz w:val="22"/>
              </w:rPr>
              <w:t>Staff involved in RA: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E3B34" w14:textId="77777777" w:rsidR="008938F2" w:rsidRPr="00334D22" w:rsidRDefault="008938F2" w:rsidP="00C515CB">
            <w:pPr>
              <w:rPr>
                <w:rFonts w:eastAsia="Aptos" w:cs="Arial"/>
                <w:color w:val="501549"/>
                <w:sz w:val="22"/>
              </w:rPr>
            </w:pP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0F4761"/>
            <w:tcMar>
              <w:left w:w="105" w:type="dxa"/>
              <w:right w:w="105" w:type="dxa"/>
            </w:tcMar>
          </w:tcPr>
          <w:p w14:paraId="63020FD5" w14:textId="77777777" w:rsidR="008938F2" w:rsidRPr="00334D22" w:rsidRDefault="008938F2" w:rsidP="00C515CB">
            <w:pPr>
              <w:rPr>
                <w:rFonts w:eastAsia="Aptos" w:cs="Arial"/>
                <w:color w:val="501549"/>
                <w:sz w:val="22"/>
              </w:rPr>
            </w:pP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264554" w14:textId="77777777" w:rsidR="008938F2" w:rsidRPr="00334D22" w:rsidRDefault="008938F2" w:rsidP="00C515CB">
            <w:pPr>
              <w:rPr>
                <w:rFonts w:eastAsia="Aptos" w:cs="Arial"/>
                <w:color w:val="501549"/>
                <w:sz w:val="22"/>
              </w:rPr>
            </w:pPr>
          </w:p>
        </w:tc>
      </w:tr>
    </w:tbl>
    <w:tbl>
      <w:tblPr>
        <w:tblStyle w:val="TableGrid"/>
        <w:tblW w:w="5002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84"/>
        <w:gridCol w:w="3484"/>
        <w:gridCol w:w="3487"/>
        <w:gridCol w:w="3493"/>
      </w:tblGrid>
      <w:tr w:rsidR="008938F2" w:rsidRPr="00334D22" w14:paraId="3C19F5FE" w14:textId="77777777" w:rsidTr="00C515CB">
        <w:trPr>
          <w:trHeight w:val="300"/>
        </w:trPr>
        <w:tc>
          <w:tcPr>
            <w:tcW w:w="4998" w:type="pct"/>
            <w:gridSpan w:val="4"/>
            <w:tcMar>
              <w:left w:w="105" w:type="dxa"/>
              <w:right w:w="105" w:type="dxa"/>
            </w:tcMar>
          </w:tcPr>
          <w:p w14:paraId="40426BB5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b/>
                <w:bCs/>
                <w:szCs w:val="24"/>
              </w:rPr>
              <w:t>Behaviour</w:t>
            </w:r>
            <w:r w:rsidRPr="00334D22">
              <w:rPr>
                <w:rFonts w:eastAsia="Aptos" w:cs="Arial"/>
                <w:szCs w:val="24"/>
              </w:rPr>
              <w:t>:</w:t>
            </w:r>
          </w:p>
          <w:p w14:paraId="4F2AE82D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:rsidRPr="00334D22" w14:paraId="5ED1CF37" w14:textId="77777777" w:rsidTr="00C515CB">
        <w:trPr>
          <w:trHeight w:val="300"/>
        </w:trPr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FEDD7A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pupil</w:t>
            </w:r>
          </w:p>
        </w:tc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8360BF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Peers/Staff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23478C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Mitigation Strategies implemented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7C7643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Strategies still available to mitigate permanent exclusion</w:t>
            </w:r>
          </w:p>
        </w:tc>
      </w:tr>
      <w:tr w:rsidR="008938F2" w:rsidRPr="00334D22" w14:paraId="5332F64C" w14:textId="77777777" w:rsidTr="00C515CB">
        <w:trPr>
          <w:trHeight w:val="300"/>
        </w:trPr>
        <w:tc>
          <w:tcPr>
            <w:tcW w:w="1249" w:type="pct"/>
            <w:tcMar>
              <w:left w:w="105" w:type="dxa"/>
              <w:right w:w="105" w:type="dxa"/>
            </w:tcMar>
          </w:tcPr>
          <w:p w14:paraId="32076558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  <w:p w14:paraId="60C7BE2E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49" w:type="pct"/>
            <w:tcMar>
              <w:left w:w="105" w:type="dxa"/>
              <w:right w:w="105" w:type="dxa"/>
            </w:tcMar>
          </w:tcPr>
          <w:p w14:paraId="69D7C30D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1562A97C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050CB2C6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:rsidRPr="00334D22" w14:paraId="2D39C6ED" w14:textId="77777777" w:rsidTr="00C515CB">
        <w:trPr>
          <w:trHeight w:val="300"/>
        </w:trPr>
        <w:tc>
          <w:tcPr>
            <w:tcW w:w="4998" w:type="pct"/>
            <w:gridSpan w:val="4"/>
            <w:tcMar>
              <w:left w:w="105" w:type="dxa"/>
              <w:right w:w="105" w:type="dxa"/>
            </w:tcMar>
          </w:tcPr>
          <w:p w14:paraId="651FAD6E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b/>
                <w:bCs/>
                <w:szCs w:val="24"/>
              </w:rPr>
              <w:t>Behaviour</w:t>
            </w:r>
            <w:r w:rsidRPr="00334D22">
              <w:rPr>
                <w:rFonts w:eastAsia="Aptos" w:cs="Arial"/>
                <w:szCs w:val="24"/>
              </w:rPr>
              <w:t>:</w:t>
            </w:r>
          </w:p>
          <w:p w14:paraId="0B4D3D6A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:rsidRPr="00334D22" w14:paraId="69B28875" w14:textId="77777777" w:rsidTr="00C515CB">
        <w:trPr>
          <w:trHeight w:val="300"/>
        </w:trPr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914D83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pupil</w:t>
            </w:r>
          </w:p>
        </w:tc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576526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Peers/Staff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CD00C03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Mitigation Strategies implemented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469CB8D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Strategies still available to mitigate permanent exclusion</w:t>
            </w:r>
          </w:p>
        </w:tc>
      </w:tr>
      <w:tr w:rsidR="008938F2" w:rsidRPr="00334D22" w14:paraId="403096E7" w14:textId="77777777" w:rsidTr="00C515CB">
        <w:trPr>
          <w:trHeight w:val="300"/>
        </w:trPr>
        <w:tc>
          <w:tcPr>
            <w:tcW w:w="1249" w:type="pct"/>
            <w:tcMar>
              <w:left w:w="105" w:type="dxa"/>
              <w:right w:w="105" w:type="dxa"/>
            </w:tcMar>
          </w:tcPr>
          <w:p w14:paraId="0129DF1A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  <w:p w14:paraId="3E609FD1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49" w:type="pct"/>
            <w:tcMar>
              <w:left w:w="105" w:type="dxa"/>
              <w:right w:w="105" w:type="dxa"/>
            </w:tcMar>
          </w:tcPr>
          <w:p w14:paraId="1BDFF7AF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7A2DC2F2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489CBDF7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:rsidRPr="00334D22" w14:paraId="119438A8" w14:textId="77777777" w:rsidTr="00C515CB">
        <w:trPr>
          <w:trHeight w:val="300"/>
        </w:trPr>
        <w:tc>
          <w:tcPr>
            <w:tcW w:w="4998" w:type="pct"/>
            <w:gridSpan w:val="4"/>
            <w:tcMar>
              <w:left w:w="105" w:type="dxa"/>
              <w:right w:w="105" w:type="dxa"/>
            </w:tcMar>
          </w:tcPr>
          <w:p w14:paraId="231A0485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b/>
                <w:bCs/>
                <w:szCs w:val="24"/>
              </w:rPr>
              <w:t>Behaviour</w:t>
            </w:r>
            <w:r w:rsidRPr="00334D22">
              <w:rPr>
                <w:rFonts w:eastAsia="Aptos" w:cs="Arial"/>
                <w:szCs w:val="24"/>
              </w:rPr>
              <w:t>:</w:t>
            </w:r>
          </w:p>
          <w:p w14:paraId="382C2BAC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:rsidRPr="00334D22" w14:paraId="73F84651" w14:textId="77777777" w:rsidTr="00C515CB">
        <w:trPr>
          <w:trHeight w:val="300"/>
        </w:trPr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4E5055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pupil</w:t>
            </w:r>
          </w:p>
        </w:tc>
        <w:tc>
          <w:tcPr>
            <w:tcW w:w="1249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6CBBC6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Harm to Peers/Staff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6C6E2C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Mitigation Strategies implemented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CB869F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  <w:r w:rsidRPr="00334D22">
              <w:rPr>
                <w:rFonts w:eastAsia="Aptos" w:cs="Arial"/>
                <w:szCs w:val="24"/>
              </w:rPr>
              <w:t>Strategies still available to mitigate permanent exclusion</w:t>
            </w:r>
          </w:p>
        </w:tc>
      </w:tr>
      <w:tr w:rsidR="008938F2" w:rsidRPr="00334D22" w14:paraId="1ABF9D29" w14:textId="77777777" w:rsidTr="00C515CB">
        <w:trPr>
          <w:trHeight w:val="300"/>
        </w:trPr>
        <w:tc>
          <w:tcPr>
            <w:tcW w:w="1249" w:type="pct"/>
            <w:tcMar>
              <w:left w:w="105" w:type="dxa"/>
              <w:right w:w="105" w:type="dxa"/>
            </w:tcMar>
          </w:tcPr>
          <w:p w14:paraId="16AE9959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  <w:p w14:paraId="433DB1FD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49" w:type="pct"/>
            <w:tcMar>
              <w:left w:w="105" w:type="dxa"/>
              <w:right w:w="105" w:type="dxa"/>
            </w:tcMar>
          </w:tcPr>
          <w:p w14:paraId="30E21BC4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6D4FF469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  <w:tc>
          <w:tcPr>
            <w:tcW w:w="1250" w:type="pct"/>
            <w:tcMar>
              <w:left w:w="105" w:type="dxa"/>
              <w:right w:w="105" w:type="dxa"/>
            </w:tcMar>
          </w:tcPr>
          <w:p w14:paraId="2F60418D" w14:textId="77777777" w:rsidR="008938F2" w:rsidRPr="00334D22" w:rsidRDefault="008938F2" w:rsidP="00C515CB">
            <w:pPr>
              <w:rPr>
                <w:rFonts w:eastAsia="Aptos" w:cs="Arial"/>
                <w:szCs w:val="24"/>
              </w:rPr>
            </w:pPr>
          </w:p>
        </w:tc>
      </w:tr>
      <w:tr w:rsidR="008938F2" w14:paraId="59A718DA" w14:textId="77777777" w:rsidTr="00C5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</w:tcPr>
          <w:p w14:paraId="43FCE6B1" w14:textId="77777777" w:rsidR="008938F2" w:rsidRDefault="008938F2" w:rsidP="00C515CB">
            <w:pPr>
              <w:rPr>
                <w:rFonts w:eastAsia="Aptos" w:cs="Arial"/>
                <w:color w:val="000000" w:themeColor="text1"/>
                <w:szCs w:val="24"/>
              </w:rPr>
            </w:pPr>
            <w:r w:rsidRPr="00334D22">
              <w:rPr>
                <w:rFonts w:eastAsia="Aptos" w:cs="Arial"/>
                <w:b/>
                <w:bCs/>
                <w:color w:val="000000" w:themeColor="text1"/>
                <w:szCs w:val="24"/>
              </w:rPr>
              <w:t>Decision</w:t>
            </w:r>
            <w:r w:rsidRPr="00334D22">
              <w:rPr>
                <w:rFonts w:eastAsia="Aptos" w:cs="Arial"/>
                <w:color w:val="000000" w:themeColor="text1"/>
                <w:szCs w:val="24"/>
              </w:rPr>
              <w:t xml:space="preserve">: </w:t>
            </w:r>
          </w:p>
          <w:p w14:paraId="582AE200" w14:textId="77777777" w:rsidR="008938F2" w:rsidRPr="00334D22" w:rsidRDefault="008938F2" w:rsidP="00C515CB">
            <w:pPr>
              <w:rPr>
                <w:rFonts w:eastAsia="Aptos" w:cs="Arial"/>
                <w:color w:val="000000" w:themeColor="text1"/>
                <w:szCs w:val="24"/>
              </w:rPr>
            </w:pPr>
            <w:r w:rsidRPr="00334D22">
              <w:rPr>
                <w:rFonts w:eastAsia="Aptos" w:cs="Arial"/>
                <w:color w:val="000000" w:themeColor="text1"/>
                <w:szCs w:val="24"/>
              </w:rPr>
              <w:t xml:space="preserve">Continue with current provision </w:t>
            </w:r>
            <w:r w:rsidRPr="00334D22">
              <w:rPr>
                <w:rFonts w:ascii="Segoe UI Symbol" w:eastAsia="Aptos" w:hAnsi="Segoe UI Symbol" w:cs="Segoe UI Symbol"/>
                <w:color w:val="000000" w:themeColor="text1"/>
                <w:szCs w:val="24"/>
              </w:rPr>
              <w:t>☐</w:t>
            </w:r>
            <w:r w:rsidRPr="00334D22">
              <w:rPr>
                <w:rFonts w:eastAsia="Aptos" w:cs="Arial"/>
                <w:color w:val="000000" w:themeColor="text1"/>
                <w:szCs w:val="24"/>
              </w:rPr>
              <w:t xml:space="preserve"> Implement additional support </w:t>
            </w:r>
            <w:r w:rsidRPr="00334D22">
              <w:rPr>
                <w:rFonts w:ascii="Segoe UI Symbol" w:eastAsia="Aptos" w:hAnsi="Segoe UI Symbol" w:cs="Segoe UI Symbol"/>
                <w:color w:val="000000" w:themeColor="text1"/>
                <w:szCs w:val="24"/>
              </w:rPr>
              <w:t>☐</w:t>
            </w:r>
            <w:r w:rsidRPr="00334D22">
              <w:rPr>
                <w:rFonts w:eastAsia="Aptos" w:cs="Arial"/>
                <w:color w:val="000000" w:themeColor="text1"/>
                <w:szCs w:val="24"/>
              </w:rPr>
              <w:t xml:space="preserve"> Consider alternative provision </w:t>
            </w:r>
            <w:r w:rsidRPr="00334D22">
              <w:rPr>
                <w:rFonts w:ascii="Segoe UI Symbol" w:eastAsia="Aptos" w:hAnsi="Segoe UI Symbol" w:cs="Segoe UI Symbol"/>
                <w:color w:val="000000" w:themeColor="text1"/>
                <w:szCs w:val="24"/>
              </w:rPr>
              <w:t>☐</w:t>
            </w:r>
            <w:r w:rsidRPr="00334D22">
              <w:rPr>
                <w:rFonts w:eastAsia="Aptos" w:cs="Arial"/>
                <w:color w:val="000000" w:themeColor="text1"/>
                <w:szCs w:val="24"/>
              </w:rPr>
              <w:t xml:space="preserve"> Proceed to exclusion panel </w:t>
            </w:r>
            <w:r w:rsidRPr="00334D22">
              <w:rPr>
                <w:rFonts w:ascii="Segoe UI Symbol" w:eastAsia="Aptos" w:hAnsi="Segoe UI Symbol" w:cs="Segoe UI Symbol"/>
                <w:color w:val="000000" w:themeColor="text1"/>
                <w:szCs w:val="24"/>
              </w:rPr>
              <w:t>☐</w:t>
            </w:r>
          </w:p>
          <w:p w14:paraId="002D01B4" w14:textId="77777777" w:rsidR="008938F2" w:rsidRDefault="008938F2" w:rsidP="00C515CB">
            <w:pPr>
              <w:rPr>
                <w:rFonts w:eastAsia="Aptos" w:cs="Arial"/>
                <w:b/>
                <w:bCs/>
                <w:color w:val="000000" w:themeColor="text1"/>
                <w:szCs w:val="24"/>
              </w:rPr>
            </w:pPr>
          </w:p>
        </w:tc>
      </w:tr>
      <w:tr w:rsidR="008938F2" w14:paraId="63E63B9E" w14:textId="77777777" w:rsidTr="00C5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4"/>
          </w:tcPr>
          <w:p w14:paraId="7A714174" w14:textId="77777777" w:rsidR="008938F2" w:rsidRDefault="008938F2" w:rsidP="00C515CB">
            <w:pPr>
              <w:rPr>
                <w:rFonts w:eastAsia="Aptos" w:cs="Arial"/>
                <w:b/>
                <w:bCs/>
                <w:color w:val="000000" w:themeColor="text1"/>
                <w:szCs w:val="24"/>
              </w:rPr>
            </w:pPr>
            <w:r>
              <w:rPr>
                <w:rFonts w:eastAsia="Aptos" w:cs="Arial"/>
                <w:b/>
                <w:bCs/>
                <w:color w:val="000000" w:themeColor="text1"/>
                <w:szCs w:val="24"/>
              </w:rPr>
              <w:t xml:space="preserve">Rationale: </w:t>
            </w:r>
          </w:p>
          <w:p w14:paraId="65E8FAB2" w14:textId="77777777" w:rsidR="008938F2" w:rsidRDefault="008938F2" w:rsidP="00C515CB">
            <w:pPr>
              <w:rPr>
                <w:rFonts w:eastAsia="Aptos" w:cs="Arial"/>
                <w:b/>
                <w:bCs/>
                <w:color w:val="000000" w:themeColor="text1"/>
                <w:szCs w:val="24"/>
              </w:rPr>
            </w:pPr>
          </w:p>
          <w:p w14:paraId="35E66CBC" w14:textId="77777777" w:rsidR="008938F2" w:rsidRDefault="008938F2" w:rsidP="00C515CB">
            <w:pPr>
              <w:rPr>
                <w:rFonts w:eastAsia="Aptos" w:cs="Arial"/>
                <w:b/>
                <w:bCs/>
                <w:color w:val="000000" w:themeColor="text1"/>
                <w:szCs w:val="24"/>
              </w:rPr>
            </w:pPr>
          </w:p>
        </w:tc>
      </w:tr>
    </w:tbl>
    <w:p w14:paraId="4F39401B" w14:textId="77777777" w:rsidR="00483E18" w:rsidRDefault="00483E18" w:rsidP="008938F2"/>
    <w:sectPr w:rsidR="00483E18" w:rsidSect="008938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8391" w14:textId="77777777" w:rsidR="0081078D" w:rsidRDefault="0081078D">
      <w:pPr>
        <w:spacing w:after="0"/>
      </w:pPr>
      <w:r>
        <w:separator/>
      </w:r>
    </w:p>
  </w:endnote>
  <w:endnote w:type="continuationSeparator" w:id="0">
    <w:p w14:paraId="532AAF7B" w14:textId="77777777" w:rsidR="0081078D" w:rsidRDefault="00810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75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154DE" w14:textId="77777777" w:rsidR="008938F2" w:rsidRDefault="008938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19CA5" w14:textId="77777777" w:rsidR="008938F2" w:rsidRDefault="00893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68A4" w14:textId="77777777" w:rsidR="0081078D" w:rsidRDefault="0081078D">
      <w:pPr>
        <w:spacing w:after="0"/>
      </w:pPr>
      <w:r>
        <w:separator/>
      </w:r>
    </w:p>
  </w:footnote>
  <w:footnote w:type="continuationSeparator" w:id="0">
    <w:p w14:paraId="76D4DDDB" w14:textId="77777777" w:rsidR="0081078D" w:rsidRDefault="00810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2"/>
    <w:rsid w:val="001F7472"/>
    <w:rsid w:val="00483E18"/>
    <w:rsid w:val="0081078D"/>
    <w:rsid w:val="008938F2"/>
    <w:rsid w:val="00AD2E17"/>
    <w:rsid w:val="00F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D86E"/>
  <w15:chartTrackingRefBased/>
  <w15:docId w15:val="{619EF6A6-BF94-4162-9537-F44FDBED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F2"/>
    <w:pPr>
      <w:spacing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8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F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F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F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F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F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F2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F2"/>
    <w:pPr>
      <w:spacing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938F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38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8938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093f40c3-e590-451d-baf8-cd06cdb5a81e">Z6D3VUQ3RC7D-1798041508-333</_dlc_DocId>
    <_dlc_DocIdUrl xmlns="093f40c3-e590-451d-baf8-cd06cdb5a81e">
      <Url>https://hants.sharepoint.com/sites/InformationHubforEducationalSettings/_layouts/15/DocIdRedir.aspx?ID=Z6D3VUQ3RC7D-1798041508-333</Url>
      <Description>Z6D3VUQ3RC7D-1798041508-333</Description>
    </_dlc_DocIdUrl>
    <lcf76f155ced4ddcb4097134ff3c332f xmlns="0a4990eb-bf74-4a02-a5ed-787372f543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7" ma:contentTypeDescription="Create a new document." ma:contentTypeScope="" ma:versionID="85602f51a88254d35eaa66e03cc56c96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901e9f8919bb5489bf560c1674e2b47f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C6D28-555A-4D54-9F97-3E43785D4C7E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88d8df83-ca86-48ef-a3c5-7604f9ab2ba6"/>
    <ds:schemaRef ds:uri="http://purl.org/dc/dcmitype/"/>
    <ds:schemaRef ds:uri="http://schemas.microsoft.com/office/2006/documentManagement/types"/>
    <ds:schemaRef ds:uri="c5dbf80e-f509-45f6-9fe5-406e3eefab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1FFE26-51EF-4E03-8863-40A7D1AC2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0511-F1B2-4878-B998-909D12AA86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C563F1-7A22-4795-9A4E-8C0E740747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696A62-7E4C-410C-83A2-549DCD025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>Hampshire County Council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East, Chloe</dc:creator>
  <cp:keywords/>
  <dc:description/>
  <cp:lastModifiedBy>Collins, Nicola</cp:lastModifiedBy>
  <cp:revision>2</cp:revision>
  <dcterms:created xsi:type="dcterms:W3CDTF">2025-09-02T13:39:00Z</dcterms:created>
  <dcterms:modified xsi:type="dcterms:W3CDTF">2025-09-02T13:39:00Z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96a772fb-d813-48c0-8007-8407fd416481</vt:lpwstr>
  </property>
</Properties>
</file>